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1a1a1a"/>
        </w:rPr>
      </w:pPr>
      <w:r w:rsidDel="00000000" w:rsidR="00000000" w:rsidRPr="00000000">
        <w:rPr>
          <w:rtl w:val="0"/>
        </w:rPr>
        <w:t xml:space="preserve">VYHLÁSENIE O OCHRANE SÚKROMIA – Iné [zákazníci a dodávatelia] SYROVÉ TORTY s.r.o., Mládeže 285/42, 013 41 Dolný Hričov, IČO 48092797,</w:t>
      </w:r>
      <w:r w:rsidDel="00000000" w:rsidR="00000000" w:rsidRPr="00000000">
        <w:rPr>
          <w:color w:val="1a1a1a"/>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1a1a1a"/>
          <w:rtl w:val="0"/>
        </w:rPr>
        <w:t xml:space="preserve"> </w:t>
      </w:r>
      <w:r w:rsidDel="00000000" w:rsidR="00000000" w:rsidRPr="00000000">
        <w:rPr>
          <w:color w:val="1a1a1a"/>
          <w:rtl w:val="0"/>
        </w:rPr>
        <w:t xml:space="preserve"> (ďalej len “</w:t>
      </w:r>
      <w:r w:rsidDel="00000000" w:rsidR="00000000" w:rsidRPr="00000000">
        <w:rPr>
          <w:rtl w:val="0"/>
        </w:rPr>
        <w:t xml:space="preserve">SYROVÉ TORTY s.r.o.</w:t>
      </w:r>
      <w:r w:rsidDel="00000000" w:rsidR="00000000" w:rsidRPr="00000000">
        <w:rPr>
          <w:color w:val="1a1a1a"/>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Iné [zákazníci a dodávatelia]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spacing w:after="0" w:before="0" w:lineRule="auto"/>
              <w:ind w:left="0" w:right="0" w:firstLine="0"/>
              <w:rPr/>
            </w:pPr>
            <w:r w:rsidDel="00000000" w:rsidR="00000000" w:rsidRPr="00000000">
              <w:rPr>
                <w:rtl w:val="0"/>
              </w:rPr>
              <w:t xml:space="preserve">Účelom spracúvania osobných údajov je vytváranie nájomných zmlúv v softvéri na základe údajov získaných v informačnom systéme katastra nehnuteľností.</w:t>
            </w:r>
          </w:p>
        </w:tc>
        <w:tc>
          <w:tcPr>
            <w:shd w:fill="auto" w:val="clear"/>
            <w:tcMar>
              <w:top w:w="45.0" w:type="dxa"/>
              <w:left w:w="45.0" w:type="dxa"/>
              <w:bottom w:w="45.0" w:type="dxa"/>
              <w:right w:w="45.0" w:type="dxa"/>
            </w:tcMar>
            <w:vAlign w:val="top"/>
          </w:tcPr>
          <w:p w:rsidR="00000000" w:rsidDel="00000000" w:rsidP="00000000" w:rsidRDefault="00000000" w:rsidRPr="00000000" w14:paraId="0000001A">
            <w:pPr>
              <w:spacing w:after="0" w:before="0" w:lineRule="auto"/>
              <w:ind w:left="0" w:right="0" w:firstLine="0"/>
              <w:rPr/>
            </w:pPr>
            <w:r w:rsidDel="00000000" w:rsidR="00000000" w:rsidRPr="00000000">
              <w:rPr>
                <w:rtl w:val="0"/>
              </w:rPr>
              <w:t xml:space="preserve">Spracovávanie je nevyhnutné na UZATVORENIE zmluvy, ktorej zmluvnou stranou je dotknutá osoba, alebo aby sa na základe žiadosti dotknutej osoby vykonali opatrenia pred uzatvorením zmluvy a počas plnenia zmluvy.</w:t>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bl>
    <w:p w:rsidR="00000000" w:rsidDel="00000000" w:rsidP="00000000" w:rsidRDefault="00000000" w:rsidRPr="00000000" w14:paraId="00000021">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B">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1">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