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dohodári SYROVÉ TORTY s.r.o., Mládeže 285/42, 013 41 Dolný Hričov, IČO 48092797,</w:t>
      </w:r>
      <w:r w:rsidDel="00000000" w:rsidR="00000000" w:rsidRPr="00000000">
        <w:rPr>
          <w:color w:val="222222"/>
          <w:highlight w:val="white"/>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 (ďalej len “</w:t>
      </w:r>
      <w:r w:rsidDel="00000000" w:rsidR="00000000" w:rsidRPr="00000000">
        <w:rPr>
          <w:rtl w:val="0"/>
        </w:rPr>
        <w:t xml:space="preserve">SYROVÉ TORTY s.r.o.</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dohodári</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bl>
    <w:p w:rsidR="00000000" w:rsidDel="00000000" w:rsidP="00000000" w:rsidRDefault="00000000" w:rsidRPr="00000000" w14:paraId="00000062">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A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A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B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0">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