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1a1a1a"/>
        </w:rPr>
      </w:pPr>
      <w:r w:rsidDel="00000000" w:rsidR="00000000" w:rsidRPr="00000000">
        <w:rPr>
          <w:rtl w:val="0"/>
        </w:rPr>
        <w:t xml:space="preserve">VYHLÁSENIE O OCHRANE SÚKROMIA – dlžníci SYROVÉ TORTY s.r.o., Mládeže 285/42, 013 41 Dolný Hričov, IČO 48092797,</w:t>
      </w:r>
      <w:r w:rsidDel="00000000" w:rsidR="00000000" w:rsidRPr="00000000">
        <w:rPr>
          <w:color w:val="1a1a1a"/>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1a1a1a"/>
          <w:rtl w:val="0"/>
        </w:rPr>
        <w:t xml:space="preserve"> </w:t>
      </w:r>
      <w:r w:rsidDel="00000000" w:rsidR="00000000" w:rsidRPr="00000000">
        <w:rPr>
          <w:color w:val="1a1a1a"/>
          <w:rtl w:val="0"/>
        </w:rPr>
        <w:t xml:space="preserve"> (ďalej len “</w:t>
      </w:r>
      <w:r w:rsidDel="00000000" w:rsidR="00000000" w:rsidRPr="00000000">
        <w:rPr>
          <w:rtl w:val="0"/>
        </w:rPr>
        <w:t xml:space="preserve">SYROVÉ TORTY s.r.o.</w:t>
      </w:r>
      <w:r w:rsidDel="00000000" w:rsidR="00000000" w:rsidRPr="00000000">
        <w:rPr>
          <w:color w:val="1a1a1a"/>
          <w:rtl w:val="0"/>
        </w:rPr>
        <w:t xml:space="preserv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dlžníci</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SYROVÉ TORTY s.r.o.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Obchodné vzťahy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Názov obchodného partnera, údaje o štatutároch alebo zástupcoch, mená a ich priezviská, prevody tovaru a majetku</w:t>
            </w:r>
          </w:p>
        </w:tc>
      </w:tr>
    </w:tbl>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bl>
    <w:p w:rsidR="00000000" w:rsidDel="00000000" w:rsidP="00000000" w:rsidRDefault="00000000" w:rsidRPr="00000000" w14:paraId="00000024">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EKIS, s.r.o.</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KODAS Žilina, s.r.o.</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KROS a.s.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35">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10 rokov</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4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3">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t xml:space="preserv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9">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